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89" w:rsidRDefault="00382DD1" w:rsidP="006323AA">
      <w:pPr>
        <w:spacing w:line="360" w:lineRule="auto"/>
        <w:jc w:val="center"/>
        <w:rPr>
          <w:b/>
          <w:sz w:val="28"/>
          <w:szCs w:val="28"/>
        </w:rPr>
      </w:pPr>
      <w:r w:rsidRPr="00A13FFB">
        <w:rPr>
          <w:b/>
          <w:sz w:val="28"/>
          <w:szCs w:val="28"/>
        </w:rPr>
        <w:t>Uszczegółowienie w</w:t>
      </w:r>
      <w:r w:rsidR="006323AA" w:rsidRPr="00A13FFB">
        <w:rPr>
          <w:b/>
          <w:sz w:val="28"/>
          <w:szCs w:val="28"/>
        </w:rPr>
        <w:t>ytyczn</w:t>
      </w:r>
      <w:r w:rsidRPr="00A13FFB">
        <w:rPr>
          <w:b/>
          <w:sz w:val="28"/>
          <w:szCs w:val="28"/>
        </w:rPr>
        <w:t xml:space="preserve">ych </w:t>
      </w:r>
    </w:p>
    <w:p w:rsidR="006323AA" w:rsidRPr="00A13FFB" w:rsidRDefault="00261D89" w:rsidP="00261D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6323AA" w:rsidRPr="00A13FF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6323AA" w:rsidRPr="00A13FFB">
        <w:rPr>
          <w:b/>
          <w:sz w:val="28"/>
          <w:szCs w:val="28"/>
        </w:rPr>
        <w:t>finansowania  krótkoterminowych wyjazdów krajowych i zagranicznych w ramach obszarów: rozwój młodej kadry naukowej oraz rozwój potencjału badawczego Konsorcjum Naukowego KNOW „Zdrowe Zwierzę – Bezpieczna Żywność</w:t>
      </w:r>
      <w:r>
        <w:rPr>
          <w:b/>
          <w:sz w:val="28"/>
          <w:szCs w:val="28"/>
        </w:rPr>
        <w:t>”</w:t>
      </w:r>
    </w:p>
    <w:p w:rsidR="006323AA" w:rsidRPr="00A13FFB" w:rsidRDefault="006323AA" w:rsidP="006323AA">
      <w:pPr>
        <w:spacing w:line="360" w:lineRule="auto"/>
        <w:jc w:val="both"/>
        <w:rPr>
          <w:b/>
          <w:sz w:val="28"/>
          <w:szCs w:val="28"/>
        </w:rPr>
      </w:pPr>
    </w:p>
    <w:p w:rsidR="006323AA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>Adresatami dofinansowania są pracownicy i doktoranci Partnerów Konsorcjum Naukowego KNOW „Zdrowe Zwierzę- Bezpieczna Żywność”</w:t>
      </w:r>
    </w:p>
    <w:p w:rsidR="00BD5C41" w:rsidRPr="00A13FFB" w:rsidRDefault="00BD5C41" w:rsidP="00BD5C41">
      <w:pPr>
        <w:spacing w:line="360" w:lineRule="auto"/>
        <w:ind w:left="540"/>
        <w:jc w:val="both"/>
      </w:pPr>
    </w:p>
    <w:p w:rsidR="00382DD1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>Środki finansowe wydawane są na</w:t>
      </w:r>
      <w:r w:rsidR="00382DD1" w:rsidRPr="00A13FFB">
        <w:t>:</w:t>
      </w:r>
    </w:p>
    <w:p w:rsidR="00382DD1" w:rsidRPr="00A13FFB" w:rsidRDefault="00382DD1" w:rsidP="00050BD7">
      <w:pPr>
        <w:spacing w:line="360" w:lineRule="auto"/>
        <w:ind w:left="851" w:hanging="284"/>
        <w:jc w:val="both"/>
      </w:pPr>
      <w:r w:rsidRPr="00A13FFB">
        <w:t xml:space="preserve">2.1. krótkoterminowe </w:t>
      </w:r>
      <w:r w:rsidR="00BD5C41" w:rsidRPr="00A13FFB">
        <w:t xml:space="preserve">(do 7 dni) </w:t>
      </w:r>
      <w:r w:rsidRPr="00A13FFB">
        <w:t>wyjazdy studyjne i szkoleniowe, warsztaty oraz</w:t>
      </w:r>
      <w:r w:rsidR="006323AA" w:rsidRPr="00A13FFB">
        <w:t xml:space="preserve"> </w:t>
      </w:r>
      <w:r w:rsidRPr="00A13FFB">
        <w:t xml:space="preserve">czynny udział w </w:t>
      </w:r>
      <w:r w:rsidR="006323AA" w:rsidRPr="00A13FFB">
        <w:t>konferencjach naukowych (</w:t>
      </w:r>
      <w:r w:rsidRPr="00A13FFB">
        <w:t xml:space="preserve">preferowana usta forma prezentacji, </w:t>
      </w:r>
      <w:r w:rsidR="00C33238" w:rsidRPr="00A13FFB">
        <w:t xml:space="preserve">oraz </w:t>
      </w:r>
      <w:r w:rsidR="006323AA" w:rsidRPr="00A13FFB">
        <w:t>poster</w:t>
      </w:r>
      <w:r w:rsidR="00C33238" w:rsidRPr="00A13FFB">
        <w:t xml:space="preserve">y </w:t>
      </w:r>
      <w:r w:rsidRPr="00A13FFB">
        <w:t xml:space="preserve"> prezentowan</w:t>
      </w:r>
      <w:r w:rsidR="00C33238" w:rsidRPr="00A13FFB">
        <w:t>e</w:t>
      </w:r>
      <w:r w:rsidRPr="00A13FFB">
        <w:t xml:space="preserve"> na renomowanych, światowych kongresach naukowych</w:t>
      </w:r>
      <w:r w:rsidR="006323AA" w:rsidRPr="00A13FFB">
        <w:t xml:space="preserve">), </w:t>
      </w:r>
    </w:p>
    <w:p w:rsidR="00382DD1" w:rsidRPr="00A13FFB" w:rsidRDefault="00382DD1" w:rsidP="00050BD7">
      <w:pPr>
        <w:spacing w:line="360" w:lineRule="auto"/>
        <w:ind w:left="851" w:hanging="284"/>
        <w:jc w:val="both"/>
      </w:pPr>
      <w:r w:rsidRPr="00A13FFB">
        <w:t xml:space="preserve">2.2. </w:t>
      </w:r>
      <w:r w:rsidR="00050BD7" w:rsidRPr="00A13FFB">
        <w:t xml:space="preserve">średnioterminowe staże </w:t>
      </w:r>
      <w:r w:rsidRPr="00A13FFB">
        <w:t>szkoleni</w:t>
      </w:r>
      <w:r w:rsidR="00050BD7" w:rsidRPr="00A13FFB">
        <w:t xml:space="preserve">owe (od tygodnia do 1 miesiąca) u partnerów KNOW oraz w innych wiodących ośrodkach naukowych </w:t>
      </w:r>
      <w:r w:rsidRPr="00A13FFB">
        <w:t>mające podnieść jakość prowadzonych badań</w:t>
      </w:r>
      <w:r w:rsidR="00050BD7" w:rsidRPr="00A13FFB">
        <w:t xml:space="preserve"> poprzez naukę i wdrożenie nowych metod badawczych</w:t>
      </w:r>
      <w:r w:rsidR="002503CB">
        <w:t>,</w:t>
      </w:r>
    </w:p>
    <w:p w:rsidR="006323AA" w:rsidRPr="00A13FFB" w:rsidRDefault="00382DD1" w:rsidP="00050BD7">
      <w:pPr>
        <w:spacing w:line="360" w:lineRule="auto"/>
        <w:ind w:left="851" w:hanging="284"/>
        <w:jc w:val="both"/>
      </w:pPr>
      <w:r w:rsidRPr="00A13FFB">
        <w:t xml:space="preserve">2.3. </w:t>
      </w:r>
      <w:r w:rsidR="006323AA" w:rsidRPr="00A13FFB">
        <w:t xml:space="preserve">staże </w:t>
      </w:r>
      <w:r w:rsidRPr="00A13FFB">
        <w:t xml:space="preserve">badawcze </w:t>
      </w:r>
      <w:r w:rsidR="00050BD7" w:rsidRPr="00A13FFB">
        <w:t>u partnerów KNOW oraz w innych</w:t>
      </w:r>
      <w:r w:rsidR="006323AA" w:rsidRPr="00A13FFB">
        <w:t xml:space="preserve"> wiodących ośrodkach naukowych</w:t>
      </w:r>
      <w:r w:rsidR="00050BD7" w:rsidRPr="00A13FFB">
        <w:t xml:space="preserve"> (do 3 miesięcy) mające na celu realizacj</w:t>
      </w:r>
      <w:r w:rsidR="00C33238" w:rsidRPr="00A13FFB">
        <w:t>ę</w:t>
      </w:r>
      <w:r w:rsidR="00050BD7" w:rsidRPr="00A13FFB">
        <w:t xml:space="preserve"> wspólnych prac badawczych. Warunkiem zaliczenia stażu będzie publikacja</w:t>
      </w:r>
      <w:r w:rsidR="002503CB">
        <w:t xml:space="preserve"> naukowa</w:t>
      </w:r>
      <w:r w:rsidR="00050BD7" w:rsidRPr="00A13FFB">
        <w:t xml:space="preserve">. Staże badawcze będą finansowane wyłącznie w ramach </w:t>
      </w:r>
      <w:r w:rsidR="00FE4E5E" w:rsidRPr="00A13FFB">
        <w:t>Z</w:t>
      </w:r>
      <w:r w:rsidR="00050BD7" w:rsidRPr="00A13FFB">
        <w:t xml:space="preserve">adania </w:t>
      </w:r>
      <w:r w:rsidR="00FE4E5E" w:rsidRPr="00A13FFB">
        <w:t xml:space="preserve">3: Rozwój potencjału badawczego. </w:t>
      </w:r>
      <w:r w:rsidR="00FE4E5E" w:rsidRPr="0000540E">
        <w:rPr>
          <w:u w:val="single"/>
        </w:rPr>
        <w:t>Staże badawcze  młodych pracowników nauki (ESR, Zadanie 2) są realizowane wyłącznie poprzez centralny program staży podoktorskich</w:t>
      </w:r>
      <w:r w:rsidR="00BD5C41" w:rsidRPr="0000540E">
        <w:rPr>
          <w:u w:val="single"/>
        </w:rPr>
        <w:t xml:space="preserve"> (POST-DOC)</w:t>
      </w:r>
      <w:r w:rsidR="00FE4E5E" w:rsidRPr="00A13FFB">
        <w:t>.</w:t>
      </w:r>
    </w:p>
    <w:p w:rsidR="00BD5C41" w:rsidRPr="00A13FFB" w:rsidRDefault="00BD5C41" w:rsidP="00050BD7">
      <w:pPr>
        <w:spacing w:line="360" w:lineRule="auto"/>
        <w:ind w:left="851" w:hanging="284"/>
        <w:jc w:val="both"/>
      </w:pPr>
    </w:p>
    <w:p w:rsidR="00050BD7" w:rsidRPr="00A13FFB" w:rsidRDefault="00050BD7" w:rsidP="006323AA">
      <w:pPr>
        <w:numPr>
          <w:ilvl w:val="0"/>
          <w:numId w:val="12"/>
        </w:numPr>
        <w:spacing w:line="360" w:lineRule="auto"/>
        <w:jc w:val="both"/>
      </w:pPr>
      <w:r w:rsidRPr="00A13FFB">
        <w:t>Na staż szkoleniowy do jednego partnera</w:t>
      </w:r>
      <w:r w:rsidR="00FE4E5E" w:rsidRPr="00A13FFB">
        <w:t>, kurs metodyczny</w:t>
      </w:r>
      <w:r w:rsidRPr="00A13FFB">
        <w:t xml:space="preserve"> lub szkolenie </w:t>
      </w:r>
      <w:r w:rsidR="008B4F21" w:rsidRPr="00A13FFB">
        <w:t xml:space="preserve">w zakresie tej samej analizy </w:t>
      </w:r>
      <w:r w:rsidR="00C33238" w:rsidRPr="00A13FFB">
        <w:t xml:space="preserve"> </w:t>
      </w:r>
      <w:r w:rsidRPr="00A13FFB">
        <w:t>może być delegowana tylko jedna osoba z jednostki (zakładu/pracowni</w:t>
      </w:r>
      <w:r w:rsidR="008B4F21" w:rsidRPr="00A13FFB">
        <w:t>/grupy badawczej</w:t>
      </w:r>
      <w:r w:rsidRPr="00A13FFB">
        <w:t>)</w:t>
      </w:r>
      <w:r w:rsidR="008B4F21" w:rsidRPr="00A13FFB">
        <w:t>.</w:t>
      </w:r>
    </w:p>
    <w:p w:rsidR="00BD5C41" w:rsidRPr="00A13FFB" w:rsidRDefault="00BD5C41" w:rsidP="00BD5C41">
      <w:pPr>
        <w:spacing w:line="360" w:lineRule="auto"/>
        <w:ind w:left="540"/>
        <w:jc w:val="both"/>
      </w:pPr>
    </w:p>
    <w:p w:rsidR="006323AA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>Wnioski skierowane do Kierowników jednostek powinny zawierać</w:t>
      </w:r>
      <w:r w:rsidR="00BD5C41" w:rsidRPr="00A13FFB">
        <w:t>:</w:t>
      </w:r>
    </w:p>
    <w:p w:rsidR="006323AA" w:rsidRPr="00A13FFB" w:rsidRDefault="006323AA" w:rsidP="006323AA">
      <w:pPr>
        <w:spacing w:line="360" w:lineRule="auto"/>
        <w:ind w:left="1080"/>
        <w:jc w:val="both"/>
      </w:pPr>
      <w:r w:rsidRPr="00A13FFB">
        <w:t>a) dane wnioskodawcy;</w:t>
      </w:r>
    </w:p>
    <w:p w:rsidR="006323AA" w:rsidRPr="00A13FFB" w:rsidRDefault="006323AA" w:rsidP="006323AA">
      <w:pPr>
        <w:spacing w:line="360" w:lineRule="auto"/>
        <w:ind w:left="1080"/>
        <w:jc w:val="both"/>
      </w:pPr>
      <w:r w:rsidRPr="00A13FFB">
        <w:t>b) cel i okres finansowania;</w:t>
      </w:r>
    </w:p>
    <w:p w:rsidR="00FE4E5E" w:rsidRPr="00A13FFB" w:rsidRDefault="006323AA" w:rsidP="00FE4E5E">
      <w:pPr>
        <w:spacing w:line="360" w:lineRule="auto"/>
        <w:ind w:left="1080"/>
        <w:jc w:val="both"/>
      </w:pPr>
      <w:r w:rsidRPr="00A13FFB">
        <w:t>c) wpływ dofinansowania na jakość prowadzonych badań naukowych;</w:t>
      </w:r>
    </w:p>
    <w:p w:rsidR="00FE4E5E" w:rsidRPr="00A13FFB" w:rsidRDefault="006323AA" w:rsidP="000349E4">
      <w:pPr>
        <w:spacing w:line="360" w:lineRule="auto"/>
        <w:ind w:left="1080"/>
        <w:jc w:val="both"/>
      </w:pPr>
      <w:r w:rsidRPr="00A13FFB">
        <w:t>d) załączniki (zaproszeni</w:t>
      </w:r>
      <w:r w:rsidR="000349E4" w:rsidRPr="00A13FFB">
        <w:t xml:space="preserve">e/dokument potwierdzający </w:t>
      </w:r>
      <w:r w:rsidRPr="00A13FFB">
        <w:t>udział w konferencji, stażu naukowym</w:t>
      </w:r>
      <w:r w:rsidR="00FE4E5E" w:rsidRPr="00A13FFB">
        <w:t>, zgod</w:t>
      </w:r>
      <w:r w:rsidR="00C33238" w:rsidRPr="00A13FFB">
        <w:t>a</w:t>
      </w:r>
      <w:r w:rsidR="00FE4E5E" w:rsidRPr="00A13FFB">
        <w:t xml:space="preserve"> zagranicznego ośrodka naukowego na staż wnioskodawcy</w:t>
      </w:r>
      <w:r w:rsidR="00BD5C41" w:rsidRPr="00A13FFB">
        <w:t>,</w:t>
      </w:r>
      <w:r w:rsidR="000349E4" w:rsidRPr="00A13FFB">
        <w:t xml:space="preserve"> </w:t>
      </w:r>
      <w:r w:rsidRPr="00A13FFB">
        <w:t>itp.)</w:t>
      </w:r>
      <w:r w:rsidR="000349E4" w:rsidRPr="00A13FFB">
        <w:t>;</w:t>
      </w:r>
      <w:r w:rsidRPr="00A13FFB">
        <w:t xml:space="preserve"> </w:t>
      </w:r>
    </w:p>
    <w:p w:rsidR="00FE4E5E" w:rsidRPr="00C43DB8" w:rsidRDefault="00FE4E5E" w:rsidP="00FE4E5E">
      <w:pPr>
        <w:spacing w:line="360" w:lineRule="auto"/>
        <w:ind w:left="1080"/>
        <w:jc w:val="both"/>
      </w:pPr>
      <w:r w:rsidRPr="00A13FFB">
        <w:lastRenderedPageBreak/>
        <w:t xml:space="preserve">e) </w:t>
      </w:r>
      <w:r w:rsidR="00050BD7" w:rsidRPr="00A13FFB">
        <w:t>w przypadku wyjazdu na staż bada</w:t>
      </w:r>
      <w:r w:rsidR="00C33238" w:rsidRPr="00A13FFB">
        <w:t>w</w:t>
      </w:r>
      <w:r w:rsidR="00050BD7" w:rsidRPr="00A13FFB">
        <w:t xml:space="preserve">czy </w:t>
      </w:r>
      <w:r w:rsidRPr="00A13FFB">
        <w:t>(Punkt 2.3) –</w:t>
      </w:r>
      <w:r w:rsidR="00050BD7" w:rsidRPr="00A13FFB">
        <w:t xml:space="preserve"> </w:t>
      </w:r>
      <w:r w:rsidR="008B4F21" w:rsidRPr="00A13FFB">
        <w:t xml:space="preserve">należy załączyć </w:t>
      </w:r>
      <w:r w:rsidRPr="00A13FFB">
        <w:t>krótki opis planowanych prac badawczych</w:t>
      </w:r>
      <w:r w:rsidR="00C43DB8">
        <w:t xml:space="preserve"> </w:t>
      </w:r>
      <w:r w:rsidR="00C43DB8" w:rsidRPr="00A13FFB">
        <w:t>(maks. do 3 stron standardowego maszynopisu)</w:t>
      </w:r>
      <w:r w:rsidRPr="00A13FFB">
        <w:t xml:space="preserve">, wg wzoru formularza stażu podoktorskich Konkursów centralnych </w:t>
      </w:r>
      <w:proofErr w:type="spellStart"/>
      <w:r w:rsidRPr="00A13FFB">
        <w:t>POST-DOC</w:t>
      </w:r>
      <w:proofErr w:type="spellEnd"/>
      <w:r w:rsidRPr="00A13FFB">
        <w:t xml:space="preserve">, </w:t>
      </w:r>
      <w:r w:rsidR="00BD5C41" w:rsidRPr="00A13FFB">
        <w:t>zawierający</w:t>
      </w:r>
      <w:r w:rsidRPr="00A13FFB">
        <w:t xml:space="preserve">: </w:t>
      </w:r>
      <w:r w:rsidRPr="00C43DB8">
        <w:t>(</w:t>
      </w:r>
      <w:r w:rsidRPr="00C43DB8">
        <w:rPr>
          <w:color w:val="000000" w:themeColor="text1"/>
        </w:rPr>
        <w:t xml:space="preserve">1)  </w:t>
      </w:r>
      <w:r w:rsidR="00C43DB8" w:rsidRPr="00C43DB8">
        <w:rPr>
          <w:color w:val="000000" w:themeColor="text1"/>
        </w:rPr>
        <w:t>Cel i opis planowanych badań; (2) Wstępne wyniki (jeśli zostały przeprowadzone)</w:t>
      </w:r>
      <w:r w:rsidR="00C43DB8">
        <w:rPr>
          <w:color w:val="000000" w:themeColor="text1"/>
        </w:rPr>
        <w:t>;</w:t>
      </w:r>
      <w:r w:rsidR="00C43DB8" w:rsidRPr="00C43DB8">
        <w:rPr>
          <w:color w:val="000000" w:themeColor="text1"/>
        </w:rPr>
        <w:t xml:space="preserve"> (3) Znaczenie prowadzonych badań: rozwój własnego potencjału badawczego, rozwój potencjału jednostki, ewentualne dalsze plany badawcze</w:t>
      </w:r>
      <w:bookmarkStart w:id="0" w:name="_GoBack"/>
      <w:bookmarkEnd w:id="0"/>
      <w:r w:rsidR="00C43DB8">
        <w:rPr>
          <w:color w:val="000000" w:themeColor="text1"/>
        </w:rPr>
        <w:t>, itp</w:t>
      </w:r>
      <w:r w:rsidR="008B4F21" w:rsidRPr="00C43DB8">
        <w:t>.</w:t>
      </w:r>
    </w:p>
    <w:p w:rsidR="00FE4E5E" w:rsidRPr="00A13FFB" w:rsidRDefault="00FE4E5E" w:rsidP="00FE4E5E">
      <w:pPr>
        <w:rPr>
          <w:b/>
        </w:rPr>
      </w:pPr>
    </w:p>
    <w:p w:rsidR="00FE4E5E" w:rsidRPr="00A13FFB" w:rsidRDefault="00FE4E5E" w:rsidP="00FE4E5E"/>
    <w:p w:rsidR="006323AA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>Sposobem rozliczenia dofinansowania jest sprawozdanie wnioskodawcy na ile dofinansowanie przyczyniło się do zdobycia nowej wiedzy i podniesienia jakości badań i/lub kształcenia kadr naukowych. Sprawozdanie merytoryczne oraz finansowe przekazywane jest do Biura Konsorcjanta w ciągu 30 dni od zakończenia dofinansowania.</w:t>
      </w:r>
    </w:p>
    <w:p w:rsidR="00BD5C41" w:rsidRPr="00A13FFB" w:rsidRDefault="00BD5C41" w:rsidP="00BD5C41">
      <w:pPr>
        <w:spacing w:line="360" w:lineRule="auto"/>
        <w:ind w:left="540"/>
        <w:jc w:val="both"/>
      </w:pPr>
    </w:p>
    <w:p w:rsidR="006323AA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>Na zakończenie każdego roku rozliczeniowego (do 31 stycznia roku następnego) Biuro Konsorcjanta przekazuje do Centralnego Biura KNOW sprawozdania merytoryczne i finansowe z wykorzystania środków na dofinansowanie krótkoterminowych wyjazdów krajowych i zagranicznych.</w:t>
      </w:r>
    </w:p>
    <w:p w:rsidR="00BD5C41" w:rsidRPr="00A13FFB" w:rsidRDefault="00BD5C41" w:rsidP="00BD5C41">
      <w:pPr>
        <w:spacing w:line="360" w:lineRule="auto"/>
        <w:jc w:val="both"/>
      </w:pPr>
    </w:p>
    <w:p w:rsidR="00BD5C41" w:rsidRPr="00A13FFB" w:rsidRDefault="006323AA" w:rsidP="006323AA">
      <w:pPr>
        <w:numPr>
          <w:ilvl w:val="0"/>
          <w:numId w:val="12"/>
        </w:numPr>
        <w:spacing w:line="360" w:lineRule="auto"/>
        <w:jc w:val="both"/>
      </w:pPr>
      <w:r w:rsidRPr="00A13FFB">
        <w:t xml:space="preserve">Wszystkie dzieła (rozprawy doktorskie, publikacje, </w:t>
      </w:r>
      <w:r w:rsidR="00BD5C41" w:rsidRPr="00A13FFB">
        <w:t xml:space="preserve">doniesienia, </w:t>
      </w:r>
      <w:r w:rsidRPr="00A13FFB">
        <w:t>patenty, itd.) zrealizowane ze środków dotacji KNOW Konsorcjum Naukowego "Zdrowe Zwierzę - Bezpieczna Żywność" muszą zawierać informację o źródle finansowania</w:t>
      </w:r>
      <w:r w:rsidR="00BD5C41" w:rsidRPr="00A13FFB">
        <w:t>:</w:t>
      </w:r>
    </w:p>
    <w:p w:rsidR="006323AA" w:rsidRPr="00A13FFB" w:rsidRDefault="00EB3CDC" w:rsidP="00BD5C41">
      <w:pPr>
        <w:spacing w:line="360" w:lineRule="auto"/>
        <w:ind w:left="888"/>
        <w:jc w:val="both"/>
        <w:rPr>
          <w:i/>
        </w:rPr>
      </w:pPr>
      <w:r w:rsidRPr="00A13FFB">
        <w:rPr>
          <w:i/>
        </w:rPr>
        <w:t>??? s</w:t>
      </w:r>
      <w:r w:rsidR="006323AA" w:rsidRPr="00A13FFB">
        <w:rPr>
          <w:i/>
        </w:rPr>
        <w:t>finansowano ze środków dotacji KNOW Konsorcjum "Zdrowe Zwierzę - Bezpieczna Żywność", Ministerstwo Nauki i Szkolnictwa Wyższego decyzja nr 05-1/KNOW2/2015)</w:t>
      </w:r>
    </w:p>
    <w:p w:rsidR="00BD5C41" w:rsidRPr="00A13FFB" w:rsidRDefault="00BD5C41" w:rsidP="00EB3CDC">
      <w:pPr>
        <w:spacing w:line="360" w:lineRule="auto"/>
        <w:ind w:left="888"/>
        <w:jc w:val="both"/>
        <w:rPr>
          <w:i/>
          <w:lang w:val="en-US"/>
        </w:rPr>
      </w:pPr>
      <w:r w:rsidRPr="00A13FFB">
        <w:rPr>
          <w:i/>
          <w:lang w:val="en-US"/>
        </w:rPr>
        <w:t xml:space="preserve">??? was supported by the </w:t>
      </w:r>
      <w:r w:rsidRPr="00A13FFB">
        <w:rPr>
          <w:rStyle w:val="hps"/>
          <w:i/>
          <w:lang w:val="en-US"/>
        </w:rPr>
        <w:t>grant</w:t>
      </w:r>
      <w:r w:rsidRPr="00A13FFB">
        <w:rPr>
          <w:i/>
          <w:lang w:val="en-US"/>
        </w:rPr>
        <w:t xml:space="preserve"> of </w:t>
      </w:r>
      <w:r w:rsidRPr="00A13FFB">
        <w:rPr>
          <w:rStyle w:val="hps"/>
          <w:i/>
          <w:lang w:val="en-US"/>
        </w:rPr>
        <w:t>KNOW Consortium "</w:t>
      </w:r>
      <w:r w:rsidRPr="00A13FFB">
        <w:rPr>
          <w:i/>
          <w:lang w:val="en-US"/>
        </w:rPr>
        <w:t xml:space="preserve">Healthy </w:t>
      </w:r>
      <w:r w:rsidRPr="00A13FFB">
        <w:rPr>
          <w:rStyle w:val="hps"/>
          <w:i/>
          <w:lang w:val="en-US"/>
        </w:rPr>
        <w:t>Animal -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Safety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Food</w:t>
      </w:r>
      <w:r w:rsidRPr="00A13FFB">
        <w:rPr>
          <w:i/>
          <w:lang w:val="en-US"/>
        </w:rPr>
        <w:t xml:space="preserve">" (MS&amp;HE; </w:t>
      </w:r>
      <w:r w:rsidRPr="00A13FFB">
        <w:rPr>
          <w:rStyle w:val="hps"/>
          <w:i/>
          <w:lang w:val="en-US"/>
        </w:rPr>
        <w:t>Decision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No.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05-1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/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KNOW2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/</w:t>
      </w:r>
      <w:r w:rsidRPr="00A13FFB">
        <w:rPr>
          <w:i/>
          <w:lang w:val="en-US"/>
        </w:rPr>
        <w:t xml:space="preserve"> </w:t>
      </w:r>
      <w:r w:rsidRPr="00A13FFB">
        <w:rPr>
          <w:rStyle w:val="hps"/>
          <w:i/>
          <w:lang w:val="en-US"/>
        </w:rPr>
        <w:t>2015)</w:t>
      </w:r>
    </w:p>
    <w:p w:rsidR="00BD5C41" w:rsidRPr="00A13FFB" w:rsidRDefault="00BD5C41" w:rsidP="00BD5C41">
      <w:pPr>
        <w:spacing w:line="360" w:lineRule="auto"/>
        <w:ind w:left="888"/>
        <w:jc w:val="both"/>
        <w:rPr>
          <w:i/>
          <w:lang w:val="en-US"/>
        </w:rPr>
      </w:pPr>
    </w:p>
    <w:p w:rsidR="00BD5C41" w:rsidRPr="00A13FFB" w:rsidRDefault="00BD5C41" w:rsidP="00BD5C41">
      <w:pPr>
        <w:spacing w:line="360" w:lineRule="auto"/>
        <w:ind w:left="888"/>
        <w:jc w:val="both"/>
        <w:rPr>
          <w:lang w:val="en-US"/>
        </w:rPr>
      </w:pPr>
    </w:p>
    <w:p w:rsidR="00621278" w:rsidRPr="00A13FFB" w:rsidRDefault="00621278" w:rsidP="006323AA">
      <w:pPr>
        <w:rPr>
          <w:szCs w:val="28"/>
          <w:lang w:val="en-US"/>
        </w:rPr>
      </w:pPr>
    </w:p>
    <w:sectPr w:rsidR="00621278" w:rsidRPr="00A13FFB" w:rsidSect="00A9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09"/>
    <w:multiLevelType w:val="hybridMultilevel"/>
    <w:tmpl w:val="55DE8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6DB2"/>
    <w:multiLevelType w:val="hybridMultilevel"/>
    <w:tmpl w:val="07CC8F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025F3F"/>
    <w:multiLevelType w:val="hybridMultilevel"/>
    <w:tmpl w:val="824AD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E74F6"/>
    <w:multiLevelType w:val="hybridMultilevel"/>
    <w:tmpl w:val="C6B00C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873FB"/>
    <w:multiLevelType w:val="hybridMultilevel"/>
    <w:tmpl w:val="DFA0B1D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54CD3"/>
    <w:multiLevelType w:val="hybridMultilevel"/>
    <w:tmpl w:val="FF6EE630"/>
    <w:lvl w:ilvl="0" w:tplc="BF00DEC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836640"/>
    <w:multiLevelType w:val="hybridMultilevel"/>
    <w:tmpl w:val="7026C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0DE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B131D"/>
    <w:multiLevelType w:val="hybridMultilevel"/>
    <w:tmpl w:val="FD44D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31466"/>
    <w:multiLevelType w:val="hybridMultilevel"/>
    <w:tmpl w:val="5D84F0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F31CC"/>
    <w:multiLevelType w:val="hybridMultilevel"/>
    <w:tmpl w:val="4FE0C380"/>
    <w:lvl w:ilvl="0" w:tplc="BF00DEC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B66FC"/>
    <w:multiLevelType w:val="hybridMultilevel"/>
    <w:tmpl w:val="3938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983D44"/>
    <w:multiLevelType w:val="hybridMultilevel"/>
    <w:tmpl w:val="213A0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D012C7"/>
    <w:multiLevelType w:val="hybridMultilevel"/>
    <w:tmpl w:val="7A1CFCE6"/>
    <w:lvl w:ilvl="0" w:tplc="D430D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11AEB"/>
    <w:multiLevelType w:val="hybridMultilevel"/>
    <w:tmpl w:val="B92ECC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E535A8"/>
    <w:multiLevelType w:val="multilevel"/>
    <w:tmpl w:val="824A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5173B"/>
    <w:rsid w:val="0000540E"/>
    <w:rsid w:val="00027E95"/>
    <w:rsid w:val="00030310"/>
    <w:rsid w:val="000349E4"/>
    <w:rsid w:val="00050BD7"/>
    <w:rsid w:val="00125BBA"/>
    <w:rsid w:val="001657CE"/>
    <w:rsid w:val="001D1A64"/>
    <w:rsid w:val="001D4274"/>
    <w:rsid w:val="0021696E"/>
    <w:rsid w:val="002503CB"/>
    <w:rsid w:val="00261D89"/>
    <w:rsid w:val="00265818"/>
    <w:rsid w:val="002975F2"/>
    <w:rsid w:val="002B758B"/>
    <w:rsid w:val="002E405D"/>
    <w:rsid w:val="002E4CF3"/>
    <w:rsid w:val="00334D95"/>
    <w:rsid w:val="0035316B"/>
    <w:rsid w:val="00374230"/>
    <w:rsid w:val="00382DD1"/>
    <w:rsid w:val="003C2852"/>
    <w:rsid w:val="003C46F4"/>
    <w:rsid w:val="004508E8"/>
    <w:rsid w:val="00474ADF"/>
    <w:rsid w:val="00484EE9"/>
    <w:rsid w:val="004D4995"/>
    <w:rsid w:val="004F7052"/>
    <w:rsid w:val="00515F53"/>
    <w:rsid w:val="005A119A"/>
    <w:rsid w:val="005E043F"/>
    <w:rsid w:val="005E2728"/>
    <w:rsid w:val="00621278"/>
    <w:rsid w:val="00626E21"/>
    <w:rsid w:val="006323AA"/>
    <w:rsid w:val="006338A0"/>
    <w:rsid w:val="006372FE"/>
    <w:rsid w:val="006A25C2"/>
    <w:rsid w:val="006C31DB"/>
    <w:rsid w:val="006C34F3"/>
    <w:rsid w:val="006F25BE"/>
    <w:rsid w:val="006F6A68"/>
    <w:rsid w:val="00761B8F"/>
    <w:rsid w:val="00777C94"/>
    <w:rsid w:val="007D7C98"/>
    <w:rsid w:val="008B4F21"/>
    <w:rsid w:val="008D5910"/>
    <w:rsid w:val="008E4213"/>
    <w:rsid w:val="00906847"/>
    <w:rsid w:val="00977527"/>
    <w:rsid w:val="009C00C7"/>
    <w:rsid w:val="009C58B6"/>
    <w:rsid w:val="00A13FFB"/>
    <w:rsid w:val="00A23591"/>
    <w:rsid w:val="00A94556"/>
    <w:rsid w:val="00A96C11"/>
    <w:rsid w:val="00AB5A6D"/>
    <w:rsid w:val="00AD7273"/>
    <w:rsid w:val="00B13798"/>
    <w:rsid w:val="00B21DD9"/>
    <w:rsid w:val="00BD46F6"/>
    <w:rsid w:val="00BD5C41"/>
    <w:rsid w:val="00C33238"/>
    <w:rsid w:val="00C43DB8"/>
    <w:rsid w:val="00C7328E"/>
    <w:rsid w:val="00C77F12"/>
    <w:rsid w:val="00C96256"/>
    <w:rsid w:val="00CE15CB"/>
    <w:rsid w:val="00D3506B"/>
    <w:rsid w:val="00D5173B"/>
    <w:rsid w:val="00D81607"/>
    <w:rsid w:val="00DB7516"/>
    <w:rsid w:val="00E8782B"/>
    <w:rsid w:val="00E87B2A"/>
    <w:rsid w:val="00EB3CDC"/>
    <w:rsid w:val="00F87F23"/>
    <w:rsid w:val="00F9404C"/>
    <w:rsid w:val="00FA4CCC"/>
    <w:rsid w:val="00FE4E57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6C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C41"/>
    <w:pPr>
      <w:ind w:left="720"/>
      <w:contextualSpacing/>
    </w:pPr>
  </w:style>
  <w:style w:type="character" w:customStyle="1" w:styleId="hps">
    <w:name w:val="hps"/>
    <w:basedOn w:val="Domylnaczcionkaakapitu"/>
    <w:rsid w:val="00BD5C41"/>
  </w:style>
  <w:style w:type="paragraph" w:styleId="Tekstdymka">
    <w:name w:val="Balloon Text"/>
    <w:basedOn w:val="Normalny"/>
    <w:link w:val="TekstdymkaZnak"/>
    <w:rsid w:val="00A13F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KNF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Darek</cp:lastModifiedBy>
  <cp:revision>2</cp:revision>
  <cp:lastPrinted>2015-06-01T13:30:00Z</cp:lastPrinted>
  <dcterms:created xsi:type="dcterms:W3CDTF">2016-01-04T17:55:00Z</dcterms:created>
  <dcterms:modified xsi:type="dcterms:W3CDTF">2016-01-04T17:55:00Z</dcterms:modified>
</cp:coreProperties>
</file>